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BCC" w:rsidRDefault="00EA65D4" w:rsidP="00AD1BCC">
      <w:pPr>
        <w:jc w:val="center"/>
        <w:rPr>
          <w:b/>
        </w:rPr>
      </w:pPr>
      <w:r>
        <w:rPr>
          <w:b/>
          <w:noProof/>
          <w:lang w:eastAsia="en-GB"/>
        </w:rPr>
        <w:drawing>
          <wp:anchor distT="0" distB="0" distL="114300" distR="114300" simplePos="0" relativeHeight="251659264" behindDoc="1" locked="0" layoutInCell="1" allowOverlap="1">
            <wp:simplePos x="0" y="0"/>
            <wp:positionH relativeFrom="column">
              <wp:posOffset>-503555</wp:posOffset>
            </wp:positionH>
            <wp:positionV relativeFrom="paragraph">
              <wp:posOffset>-748665</wp:posOffset>
            </wp:positionV>
            <wp:extent cx="1176020" cy="516255"/>
            <wp:effectExtent l="19050" t="0" r="5080" b="0"/>
            <wp:wrapTight wrapText="bothSides">
              <wp:wrapPolygon edited="0">
                <wp:start x="-350" y="0"/>
                <wp:lineTo x="-350" y="20723"/>
                <wp:lineTo x="21693" y="20723"/>
                <wp:lineTo x="21693" y="0"/>
                <wp:lineTo x="-350" y="0"/>
              </wp:wrapPolygon>
            </wp:wrapTight>
            <wp:docPr id="2" name="Picture 1" descr="kf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x2.jpg"/>
                    <pic:cNvPicPr/>
                  </pic:nvPicPr>
                  <pic:blipFill>
                    <a:blip r:embed="rId5" cstate="print"/>
                    <a:stretch>
                      <a:fillRect/>
                    </a:stretch>
                  </pic:blipFill>
                  <pic:spPr>
                    <a:xfrm>
                      <a:off x="0" y="0"/>
                      <a:ext cx="1176020" cy="516255"/>
                    </a:xfrm>
                    <a:prstGeom prst="rect">
                      <a:avLst/>
                    </a:prstGeom>
                  </pic:spPr>
                </pic:pic>
              </a:graphicData>
            </a:graphic>
          </wp:anchor>
        </w:drawing>
      </w:r>
      <w:r>
        <w:rPr>
          <w:b/>
          <w:noProof/>
          <w:lang w:eastAsia="en-GB"/>
        </w:rPr>
        <w:drawing>
          <wp:anchor distT="0" distB="0" distL="114300" distR="114300" simplePos="0" relativeHeight="251658240" behindDoc="1" locked="0" layoutInCell="1" allowOverlap="1">
            <wp:simplePos x="0" y="0"/>
            <wp:positionH relativeFrom="column">
              <wp:posOffset>3914140</wp:posOffset>
            </wp:positionH>
            <wp:positionV relativeFrom="paragraph">
              <wp:posOffset>-706755</wp:posOffset>
            </wp:positionV>
            <wp:extent cx="2604135" cy="314325"/>
            <wp:effectExtent l="19050" t="0" r="5715" b="0"/>
            <wp:wrapTight wrapText="bothSides">
              <wp:wrapPolygon edited="0">
                <wp:start x="-158" y="0"/>
                <wp:lineTo x="-158" y="20945"/>
                <wp:lineTo x="21647" y="20945"/>
                <wp:lineTo x="21647" y="0"/>
                <wp:lineTo x="-158" y="0"/>
              </wp:wrapPolygon>
            </wp:wrapTight>
            <wp:docPr id="1" name="Picture 1" descr="Leicester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icester City Council"/>
                    <pic:cNvPicPr>
                      <a:picLocks noChangeAspect="1" noChangeArrowheads="1"/>
                    </pic:cNvPicPr>
                  </pic:nvPicPr>
                  <pic:blipFill>
                    <a:blip r:embed="rId6" cstate="print"/>
                    <a:srcRect/>
                    <a:stretch>
                      <a:fillRect/>
                    </a:stretch>
                  </pic:blipFill>
                  <pic:spPr bwMode="auto">
                    <a:xfrm>
                      <a:off x="0" y="0"/>
                      <a:ext cx="2604135" cy="314325"/>
                    </a:xfrm>
                    <a:prstGeom prst="rect">
                      <a:avLst/>
                    </a:prstGeom>
                    <a:noFill/>
                    <a:ln w="9525">
                      <a:noFill/>
                      <a:miter lim="800000"/>
                      <a:headEnd/>
                      <a:tailEnd/>
                    </a:ln>
                  </pic:spPr>
                </pic:pic>
              </a:graphicData>
            </a:graphic>
          </wp:anchor>
        </w:drawing>
      </w:r>
      <w:r w:rsidR="00AD1BCC">
        <w:rPr>
          <w:b/>
        </w:rPr>
        <w:t>Leicester City Council</w:t>
      </w:r>
      <w:r w:rsidRPr="00EA65D4">
        <w:t xml:space="preserve"> </w:t>
      </w:r>
    </w:p>
    <w:p w:rsidR="00AD1BCC" w:rsidRDefault="00AD1BCC" w:rsidP="00AD1BCC">
      <w:pPr>
        <w:jc w:val="center"/>
        <w:rPr>
          <w:b/>
        </w:rPr>
      </w:pPr>
      <w:r>
        <w:rPr>
          <w:b/>
        </w:rPr>
        <w:t>In partnership with KFx</w:t>
      </w:r>
    </w:p>
    <w:p w:rsidR="00AD1BCC" w:rsidRDefault="00AD1BCC" w:rsidP="00AD1BCC">
      <w:pPr>
        <w:jc w:val="center"/>
        <w:rPr>
          <w:b/>
        </w:rPr>
      </w:pPr>
      <w:r>
        <w:rPr>
          <w:b/>
        </w:rPr>
        <w:t>Drugs Awareness Training</w:t>
      </w:r>
    </w:p>
    <w:p w:rsidR="009D2036" w:rsidRPr="00EA65D4" w:rsidRDefault="00EA65D4" w:rsidP="00AD1BCC">
      <w:r w:rsidRPr="00EA65D4">
        <w:t xml:space="preserve">The City Council, in partnership with KFx </w:t>
      </w:r>
      <w:r w:rsidR="004923B0">
        <w:t>is</w:t>
      </w:r>
      <w:r w:rsidRPr="00EA65D4">
        <w:t xml:space="preserve"> pleased to offer the following drugs training </w:t>
      </w:r>
      <w:r w:rsidR="00AD1BCC" w:rsidRPr="00EA65D4">
        <w:t>in 2013-14</w:t>
      </w:r>
      <w:r w:rsidRPr="00EA65D4">
        <w:t xml:space="preserve"> as part of its commitment to work-force development and enhancing skills in working with drug use.</w:t>
      </w:r>
    </w:p>
    <w:tbl>
      <w:tblPr>
        <w:tblStyle w:val="TableGrid"/>
        <w:tblW w:w="0" w:type="auto"/>
        <w:tblLook w:val="04A0"/>
      </w:tblPr>
      <w:tblGrid>
        <w:gridCol w:w="4928"/>
        <w:gridCol w:w="709"/>
        <w:gridCol w:w="3605"/>
      </w:tblGrid>
      <w:tr w:rsidR="009D2036" w:rsidTr="00EA65D4">
        <w:tc>
          <w:tcPr>
            <w:tcW w:w="5637" w:type="dxa"/>
            <w:gridSpan w:val="2"/>
            <w:shd w:val="clear" w:color="auto" w:fill="D9D9D9" w:themeFill="background1" w:themeFillShade="D9"/>
          </w:tcPr>
          <w:p w:rsidR="009D2036" w:rsidRDefault="009D2036" w:rsidP="00AD1BCC">
            <w:pPr>
              <w:rPr>
                <w:b/>
              </w:rPr>
            </w:pPr>
            <w:r>
              <w:rPr>
                <w:b/>
              </w:rPr>
              <w:t>Performance and Image Drugs</w:t>
            </w:r>
            <w:r>
              <w:rPr>
                <w:b/>
              </w:rPr>
              <w:tab/>
            </w:r>
          </w:p>
        </w:tc>
        <w:tc>
          <w:tcPr>
            <w:tcW w:w="3605" w:type="dxa"/>
            <w:shd w:val="clear" w:color="auto" w:fill="D9D9D9" w:themeFill="background1" w:themeFillShade="D9"/>
          </w:tcPr>
          <w:p w:rsidR="009D2036" w:rsidRDefault="009D2036" w:rsidP="00AD1BCC">
            <w:pPr>
              <w:rPr>
                <w:b/>
              </w:rPr>
            </w:pPr>
            <w:r>
              <w:rPr>
                <w:b/>
              </w:rPr>
              <w:t>10-11</w:t>
            </w:r>
            <w:r w:rsidRPr="00AD1BCC">
              <w:rPr>
                <w:b/>
                <w:vertAlign w:val="superscript"/>
              </w:rPr>
              <w:t>th</w:t>
            </w:r>
            <w:r>
              <w:rPr>
                <w:b/>
              </w:rPr>
              <w:t xml:space="preserve"> September 2013</w:t>
            </w:r>
          </w:p>
        </w:tc>
      </w:tr>
      <w:tr w:rsidR="009D2036" w:rsidTr="00261C35">
        <w:tc>
          <w:tcPr>
            <w:tcW w:w="9242" w:type="dxa"/>
            <w:gridSpan w:val="3"/>
          </w:tcPr>
          <w:p w:rsidR="009D2036" w:rsidRPr="009D2036" w:rsidRDefault="009D2036" w:rsidP="009D2036">
            <w:pPr>
              <w:rPr>
                <w:sz w:val="20"/>
              </w:rPr>
            </w:pPr>
            <w:r w:rsidRPr="009D2036">
              <w:rPr>
                <w:b/>
                <w:sz w:val="20"/>
              </w:rPr>
              <w:t xml:space="preserve">About this course: </w:t>
            </w:r>
            <w:r w:rsidRPr="009D2036">
              <w:rPr>
                <w:sz w:val="20"/>
              </w:rPr>
              <w:t>a comprehensive introduction to performance and image drugs, including what they are, how they work, injecting, cycles, stacks and post cycle treatment, responses and problems</w:t>
            </w:r>
          </w:p>
          <w:p w:rsidR="009D2036" w:rsidRPr="009D2036" w:rsidRDefault="009D2036" w:rsidP="009D2036">
            <w:pPr>
              <w:rPr>
                <w:b/>
                <w:sz w:val="20"/>
              </w:rPr>
            </w:pPr>
            <w:r w:rsidRPr="009D2036">
              <w:rPr>
                <w:b/>
                <w:sz w:val="20"/>
              </w:rPr>
              <w:t>Who is the course for:</w:t>
            </w:r>
            <w:r w:rsidRPr="009D2036">
              <w:rPr>
                <w:sz w:val="20"/>
              </w:rPr>
              <w:t xml:space="preserve"> anyone working with people who use, or who are considering use of performance and image drugs such as anabolic steroids. This includes drugs workers, needle exchange workers, people in sports settings and other interested agencies.</w:t>
            </w:r>
            <w:r w:rsidRPr="009D2036">
              <w:rPr>
                <w:b/>
                <w:sz w:val="20"/>
              </w:rPr>
              <w:t xml:space="preserve"> </w:t>
            </w:r>
          </w:p>
          <w:p w:rsidR="009D2036" w:rsidRPr="009D2036" w:rsidRDefault="009D2036" w:rsidP="009D2036">
            <w:pPr>
              <w:rPr>
                <w:b/>
                <w:sz w:val="20"/>
              </w:rPr>
            </w:pPr>
          </w:p>
          <w:p w:rsidR="009D2036" w:rsidRDefault="009D2036" w:rsidP="009D2036">
            <w:pPr>
              <w:rPr>
                <w:b/>
              </w:rPr>
            </w:pPr>
            <w:r w:rsidRPr="009D2036">
              <w:rPr>
                <w:sz w:val="20"/>
              </w:rPr>
              <w:t xml:space="preserve">No previous drugs training is required. This is a </w:t>
            </w:r>
            <w:r w:rsidRPr="009D2036">
              <w:rPr>
                <w:b/>
                <w:sz w:val="20"/>
              </w:rPr>
              <w:t>two day</w:t>
            </w:r>
            <w:r w:rsidRPr="009D2036">
              <w:rPr>
                <w:sz w:val="20"/>
              </w:rPr>
              <w:t xml:space="preserve"> course.</w:t>
            </w:r>
          </w:p>
        </w:tc>
      </w:tr>
      <w:tr w:rsidR="009D2036" w:rsidTr="00EA65D4">
        <w:tc>
          <w:tcPr>
            <w:tcW w:w="5637" w:type="dxa"/>
            <w:gridSpan w:val="2"/>
            <w:shd w:val="clear" w:color="auto" w:fill="D9D9D9" w:themeFill="background1" w:themeFillShade="D9"/>
          </w:tcPr>
          <w:p w:rsidR="009D2036" w:rsidRDefault="009D2036" w:rsidP="00EA65D4">
            <w:pPr>
              <w:rPr>
                <w:b/>
              </w:rPr>
            </w:pPr>
            <w:r>
              <w:rPr>
                <w:b/>
              </w:rPr>
              <w:t>Novel Psychoactive Compounds</w:t>
            </w:r>
            <w:r w:rsidR="00EA65D4">
              <w:rPr>
                <w:b/>
              </w:rPr>
              <w:t xml:space="preserve"> </w:t>
            </w:r>
            <w:r>
              <w:rPr>
                <w:b/>
              </w:rPr>
              <w:t xml:space="preserve"> </w:t>
            </w:r>
            <w:r w:rsidRPr="00EA65D4">
              <w:rPr>
                <w:b/>
                <w:sz w:val="18"/>
              </w:rPr>
              <w:t>(new, legal and emerging highs)</w:t>
            </w:r>
          </w:p>
        </w:tc>
        <w:tc>
          <w:tcPr>
            <w:tcW w:w="3605" w:type="dxa"/>
            <w:shd w:val="clear" w:color="auto" w:fill="D9D9D9" w:themeFill="background1" w:themeFillShade="D9"/>
          </w:tcPr>
          <w:p w:rsidR="009D2036" w:rsidRDefault="009D2036" w:rsidP="00AD1BCC">
            <w:pPr>
              <w:rPr>
                <w:b/>
              </w:rPr>
            </w:pPr>
            <w:r>
              <w:rPr>
                <w:b/>
              </w:rPr>
              <w:t>8</w:t>
            </w:r>
            <w:r w:rsidRPr="00AD1BCC">
              <w:rPr>
                <w:b/>
                <w:vertAlign w:val="superscript"/>
              </w:rPr>
              <w:t>th</w:t>
            </w:r>
            <w:r>
              <w:rPr>
                <w:b/>
              </w:rPr>
              <w:t xml:space="preserve"> October 2013</w:t>
            </w:r>
          </w:p>
        </w:tc>
      </w:tr>
      <w:tr w:rsidR="009D2036" w:rsidTr="005C4562">
        <w:tc>
          <w:tcPr>
            <w:tcW w:w="9242" w:type="dxa"/>
            <w:gridSpan w:val="3"/>
          </w:tcPr>
          <w:p w:rsidR="009D2036" w:rsidRPr="009D2036" w:rsidRDefault="009D2036" w:rsidP="009D2036">
            <w:pPr>
              <w:rPr>
                <w:sz w:val="20"/>
              </w:rPr>
            </w:pPr>
            <w:r w:rsidRPr="009D2036">
              <w:rPr>
                <w:b/>
                <w:sz w:val="20"/>
              </w:rPr>
              <w:t xml:space="preserve">About the course: </w:t>
            </w:r>
            <w:r w:rsidRPr="009D2036">
              <w:rPr>
                <w:sz w:val="20"/>
              </w:rPr>
              <w:t>an overview of the subject of newer drugs: where they come from, the legal framework, the internet and drugs, types of new drug, how to research and respond to newer drugs.</w:t>
            </w:r>
          </w:p>
          <w:p w:rsidR="009D2036" w:rsidRDefault="009D2036" w:rsidP="009D2036">
            <w:pPr>
              <w:rPr>
                <w:b/>
              </w:rPr>
            </w:pPr>
            <w:r w:rsidRPr="009D2036">
              <w:rPr>
                <w:b/>
                <w:sz w:val="20"/>
              </w:rPr>
              <w:t xml:space="preserve">Who is the course for: </w:t>
            </w:r>
            <w:r w:rsidRPr="009D2036">
              <w:rPr>
                <w:sz w:val="20"/>
              </w:rPr>
              <w:t xml:space="preserve">anyone working with people who may use or be interested in newer drugs including family workers, youth workers, school nurses, drugs workers, police, and any other interested agencies. </w:t>
            </w:r>
            <w:r w:rsidRPr="009D2036">
              <w:rPr>
                <w:sz w:val="20"/>
              </w:rPr>
              <w:br/>
            </w:r>
            <w:r w:rsidRPr="009D2036">
              <w:rPr>
                <w:sz w:val="20"/>
              </w:rPr>
              <w:br/>
              <w:t xml:space="preserve">No previous drugs training is required. This is a </w:t>
            </w:r>
            <w:r w:rsidRPr="009D2036">
              <w:rPr>
                <w:b/>
                <w:sz w:val="20"/>
              </w:rPr>
              <w:t xml:space="preserve">one day </w:t>
            </w:r>
            <w:r w:rsidRPr="009D2036">
              <w:rPr>
                <w:sz w:val="20"/>
              </w:rPr>
              <w:t>course.</w:t>
            </w:r>
          </w:p>
        </w:tc>
      </w:tr>
      <w:tr w:rsidR="009D2036" w:rsidTr="00EA65D4">
        <w:tc>
          <w:tcPr>
            <w:tcW w:w="5637" w:type="dxa"/>
            <w:gridSpan w:val="2"/>
            <w:shd w:val="clear" w:color="auto" w:fill="D9D9D9" w:themeFill="background1" w:themeFillShade="D9"/>
          </w:tcPr>
          <w:p w:rsidR="009D2036" w:rsidRDefault="009D2036" w:rsidP="00AD1BCC">
            <w:pPr>
              <w:rPr>
                <w:b/>
              </w:rPr>
            </w:pPr>
            <w:r>
              <w:rPr>
                <w:b/>
              </w:rPr>
              <w:t>Drugs and Mental Wellbeing</w:t>
            </w:r>
          </w:p>
        </w:tc>
        <w:tc>
          <w:tcPr>
            <w:tcW w:w="3605" w:type="dxa"/>
            <w:shd w:val="clear" w:color="auto" w:fill="D9D9D9" w:themeFill="background1" w:themeFillShade="D9"/>
          </w:tcPr>
          <w:p w:rsidR="009D2036" w:rsidRDefault="009D2036" w:rsidP="00AD1BCC">
            <w:pPr>
              <w:rPr>
                <w:b/>
              </w:rPr>
            </w:pPr>
            <w:r>
              <w:rPr>
                <w:b/>
              </w:rPr>
              <w:t>9</w:t>
            </w:r>
            <w:r w:rsidRPr="00AD1BCC">
              <w:rPr>
                <w:b/>
                <w:vertAlign w:val="superscript"/>
              </w:rPr>
              <w:t>th</w:t>
            </w:r>
            <w:r>
              <w:rPr>
                <w:b/>
              </w:rPr>
              <w:t xml:space="preserve"> October 2013</w:t>
            </w:r>
          </w:p>
        </w:tc>
      </w:tr>
      <w:tr w:rsidR="009D2036" w:rsidTr="005D25B2">
        <w:tc>
          <w:tcPr>
            <w:tcW w:w="9242" w:type="dxa"/>
            <w:gridSpan w:val="3"/>
          </w:tcPr>
          <w:p w:rsidR="009D2036" w:rsidRPr="009D2036" w:rsidRDefault="009D2036" w:rsidP="009D2036">
            <w:pPr>
              <w:rPr>
                <w:sz w:val="20"/>
              </w:rPr>
            </w:pPr>
            <w:r w:rsidRPr="009D2036">
              <w:rPr>
                <w:b/>
                <w:sz w:val="20"/>
              </w:rPr>
              <w:t xml:space="preserve">About the course: </w:t>
            </w:r>
            <w:r w:rsidRPr="009D2036">
              <w:rPr>
                <w:sz w:val="20"/>
              </w:rPr>
              <w:t>a course to help develop understanding of how drugs can impact on mental wellbeing and how poor mental health may interact with drug use. Not a classic “dual diagnosis” course, more about how to engage and respond to the mental well being of people who use.</w:t>
            </w:r>
          </w:p>
          <w:p w:rsidR="009D2036" w:rsidRPr="009D2036" w:rsidRDefault="009D2036" w:rsidP="009D2036">
            <w:pPr>
              <w:rPr>
                <w:sz w:val="20"/>
              </w:rPr>
            </w:pPr>
            <w:r w:rsidRPr="009D2036">
              <w:rPr>
                <w:b/>
                <w:sz w:val="20"/>
              </w:rPr>
              <w:t xml:space="preserve">Who is the course for: </w:t>
            </w:r>
            <w:r w:rsidRPr="009D2036">
              <w:rPr>
                <w:sz w:val="20"/>
              </w:rPr>
              <w:t xml:space="preserve">anyone working with people who use drugs, or people who work in mental health or support settings where drug use and mental health is an issue. </w:t>
            </w:r>
          </w:p>
          <w:p w:rsidR="009D2036" w:rsidRPr="009D2036" w:rsidRDefault="009D2036" w:rsidP="009D2036">
            <w:pPr>
              <w:rPr>
                <w:sz w:val="20"/>
              </w:rPr>
            </w:pPr>
          </w:p>
          <w:p w:rsidR="009D2036" w:rsidRDefault="009D2036" w:rsidP="009D2036">
            <w:pPr>
              <w:rPr>
                <w:b/>
              </w:rPr>
            </w:pPr>
            <w:r w:rsidRPr="009D2036">
              <w:rPr>
                <w:sz w:val="20"/>
              </w:rPr>
              <w:t xml:space="preserve">You will need to have undertaken basic drugs training (or have equivalent experience) to attend this course. This is a </w:t>
            </w:r>
            <w:r w:rsidRPr="009D2036">
              <w:rPr>
                <w:b/>
                <w:sz w:val="20"/>
              </w:rPr>
              <w:t>one day</w:t>
            </w:r>
            <w:r w:rsidRPr="009D2036">
              <w:rPr>
                <w:sz w:val="20"/>
              </w:rPr>
              <w:t xml:space="preserve"> course.</w:t>
            </w:r>
          </w:p>
        </w:tc>
      </w:tr>
      <w:tr w:rsidR="009D2036" w:rsidTr="00EA65D4">
        <w:tc>
          <w:tcPr>
            <w:tcW w:w="4928" w:type="dxa"/>
            <w:shd w:val="clear" w:color="auto" w:fill="D9D9D9" w:themeFill="background1" w:themeFillShade="D9"/>
          </w:tcPr>
          <w:p w:rsidR="009D2036" w:rsidRDefault="009D2036" w:rsidP="009D2036">
            <w:pPr>
              <w:rPr>
                <w:b/>
              </w:rPr>
            </w:pPr>
            <w:r>
              <w:rPr>
                <w:b/>
              </w:rPr>
              <w:t>Drug Related Deaths</w:t>
            </w:r>
            <w:r>
              <w:rPr>
                <w:b/>
              </w:rPr>
              <w:tab/>
            </w:r>
          </w:p>
          <w:p w:rsidR="009D2036" w:rsidRDefault="009D2036" w:rsidP="00AD1BCC">
            <w:pPr>
              <w:rPr>
                <w:b/>
              </w:rPr>
            </w:pPr>
          </w:p>
        </w:tc>
        <w:tc>
          <w:tcPr>
            <w:tcW w:w="4314" w:type="dxa"/>
            <w:gridSpan w:val="2"/>
            <w:shd w:val="clear" w:color="auto" w:fill="D9D9D9" w:themeFill="background1" w:themeFillShade="D9"/>
          </w:tcPr>
          <w:p w:rsidR="009D2036" w:rsidRDefault="009D2036" w:rsidP="00AD1BCC">
            <w:pPr>
              <w:rPr>
                <w:b/>
              </w:rPr>
            </w:pPr>
            <w:r>
              <w:rPr>
                <w:b/>
              </w:rPr>
              <w:t>26</w:t>
            </w:r>
            <w:r w:rsidRPr="00E872C6">
              <w:rPr>
                <w:b/>
                <w:vertAlign w:val="superscript"/>
              </w:rPr>
              <w:t>th</w:t>
            </w:r>
            <w:r>
              <w:rPr>
                <w:b/>
              </w:rPr>
              <w:t xml:space="preserve">  November  2013 </w:t>
            </w:r>
            <w:r>
              <w:rPr>
                <w:b/>
              </w:rPr>
              <w:br/>
            </w:r>
            <w:r w:rsidRPr="00EA65D4">
              <w:rPr>
                <w:b/>
                <w:sz w:val="16"/>
              </w:rPr>
              <w:t>(Half day course: courses running in morning and afternoon)</w:t>
            </w:r>
          </w:p>
        </w:tc>
      </w:tr>
      <w:tr w:rsidR="009D2036" w:rsidTr="000D4664">
        <w:tc>
          <w:tcPr>
            <w:tcW w:w="9242" w:type="dxa"/>
            <w:gridSpan w:val="3"/>
          </w:tcPr>
          <w:p w:rsidR="009D2036" w:rsidRPr="00EA65D4" w:rsidRDefault="009D2036" w:rsidP="009D2036">
            <w:pPr>
              <w:rPr>
                <w:sz w:val="20"/>
              </w:rPr>
            </w:pPr>
            <w:r w:rsidRPr="00EA65D4">
              <w:rPr>
                <w:b/>
                <w:sz w:val="20"/>
              </w:rPr>
              <w:t xml:space="preserve">About the course: </w:t>
            </w:r>
            <w:r w:rsidRPr="00EA65D4">
              <w:rPr>
                <w:sz w:val="20"/>
              </w:rPr>
              <w:t>a half day course to look at key risk factors in drug-relat</w:t>
            </w:r>
            <w:r w:rsidR="00E552FA">
              <w:rPr>
                <w:sz w:val="20"/>
              </w:rPr>
              <w:t>e</w:t>
            </w:r>
            <w:r w:rsidRPr="00EA65D4">
              <w:rPr>
                <w:sz w:val="20"/>
              </w:rPr>
              <w:t>d deaths (with a  focus on opiate users) and how to anticipate, identify and respond to overdose.</w:t>
            </w:r>
          </w:p>
          <w:p w:rsidR="009D2036" w:rsidRPr="00EA65D4" w:rsidRDefault="009D2036" w:rsidP="009D2036">
            <w:pPr>
              <w:rPr>
                <w:sz w:val="20"/>
              </w:rPr>
            </w:pPr>
            <w:r w:rsidRPr="00EA65D4">
              <w:rPr>
                <w:b/>
                <w:sz w:val="20"/>
              </w:rPr>
              <w:t xml:space="preserve">Who is the course for: </w:t>
            </w:r>
            <w:r w:rsidRPr="00EA65D4">
              <w:rPr>
                <w:sz w:val="20"/>
              </w:rPr>
              <w:t>anyone working  or volunteering with people who use heroin or other opiates, including housing workers, drugs workers, peer educators .</w:t>
            </w:r>
          </w:p>
          <w:p w:rsidR="009D2036" w:rsidRPr="00EA65D4" w:rsidRDefault="009D2036" w:rsidP="009D2036">
            <w:pPr>
              <w:rPr>
                <w:sz w:val="20"/>
              </w:rPr>
            </w:pPr>
          </w:p>
          <w:p w:rsidR="009D2036" w:rsidRDefault="009D2036" w:rsidP="009D2036">
            <w:pPr>
              <w:rPr>
                <w:b/>
              </w:rPr>
            </w:pPr>
            <w:r w:rsidRPr="00EA65D4">
              <w:rPr>
                <w:sz w:val="20"/>
              </w:rPr>
              <w:t xml:space="preserve">No previous training required. This is a </w:t>
            </w:r>
            <w:r w:rsidRPr="00EA65D4">
              <w:rPr>
                <w:b/>
                <w:sz w:val="20"/>
              </w:rPr>
              <w:t xml:space="preserve">half day </w:t>
            </w:r>
            <w:r w:rsidRPr="00EA65D4">
              <w:rPr>
                <w:sz w:val="20"/>
              </w:rPr>
              <w:t xml:space="preserve">course. </w:t>
            </w:r>
          </w:p>
        </w:tc>
      </w:tr>
      <w:tr w:rsidR="00EA65D4" w:rsidTr="00EA65D4">
        <w:tc>
          <w:tcPr>
            <w:tcW w:w="5637" w:type="dxa"/>
            <w:gridSpan w:val="2"/>
            <w:shd w:val="clear" w:color="auto" w:fill="D9D9D9" w:themeFill="background1" w:themeFillShade="D9"/>
          </w:tcPr>
          <w:p w:rsidR="00EA65D4" w:rsidRPr="00EA65D4" w:rsidRDefault="00EA65D4" w:rsidP="009D2036">
            <w:pPr>
              <w:rPr>
                <w:b/>
                <w:sz w:val="20"/>
              </w:rPr>
            </w:pPr>
            <w:r>
              <w:rPr>
                <w:b/>
              </w:rPr>
              <w:t xml:space="preserve">Novel Psychoactive Compounds </w:t>
            </w:r>
            <w:r w:rsidRPr="00EA65D4">
              <w:rPr>
                <w:b/>
                <w:sz w:val="18"/>
              </w:rPr>
              <w:t>(new, legal and emerging highs)</w:t>
            </w:r>
          </w:p>
        </w:tc>
        <w:tc>
          <w:tcPr>
            <w:tcW w:w="3605" w:type="dxa"/>
            <w:shd w:val="clear" w:color="auto" w:fill="D9D9D9" w:themeFill="background1" w:themeFillShade="D9"/>
          </w:tcPr>
          <w:p w:rsidR="00EA65D4" w:rsidRPr="00EA65D4" w:rsidRDefault="00EA65D4" w:rsidP="009D2036">
            <w:pPr>
              <w:rPr>
                <w:b/>
                <w:sz w:val="20"/>
              </w:rPr>
            </w:pPr>
            <w:r>
              <w:rPr>
                <w:b/>
              </w:rPr>
              <w:t>27</w:t>
            </w:r>
            <w:r w:rsidRPr="009D2036">
              <w:rPr>
                <w:b/>
                <w:vertAlign w:val="superscript"/>
              </w:rPr>
              <w:t>th</w:t>
            </w:r>
            <w:r>
              <w:rPr>
                <w:b/>
              </w:rPr>
              <w:t xml:space="preserve"> November 2013</w:t>
            </w:r>
          </w:p>
        </w:tc>
      </w:tr>
      <w:tr w:rsidR="00EA65D4" w:rsidTr="000D4664">
        <w:tc>
          <w:tcPr>
            <w:tcW w:w="9242" w:type="dxa"/>
            <w:gridSpan w:val="3"/>
          </w:tcPr>
          <w:p w:rsidR="00EA65D4" w:rsidRPr="00EA65D4" w:rsidRDefault="00EA65D4" w:rsidP="00EA65D4">
            <w:pPr>
              <w:rPr>
                <w:b/>
                <w:sz w:val="20"/>
              </w:rPr>
            </w:pPr>
            <w:r w:rsidRPr="00EA65D4">
              <w:rPr>
                <w:sz w:val="20"/>
              </w:rPr>
              <w:t>See above</w:t>
            </w:r>
          </w:p>
        </w:tc>
      </w:tr>
      <w:tr w:rsidR="00EA65D4" w:rsidRPr="00EA65D4" w:rsidTr="00EA65D4">
        <w:tc>
          <w:tcPr>
            <w:tcW w:w="5637" w:type="dxa"/>
            <w:gridSpan w:val="2"/>
            <w:shd w:val="clear" w:color="auto" w:fill="D9D9D9" w:themeFill="background1" w:themeFillShade="D9"/>
          </w:tcPr>
          <w:p w:rsidR="00EA65D4" w:rsidRPr="00EA65D4" w:rsidRDefault="00EA65D4" w:rsidP="00B923E3">
            <w:pPr>
              <w:rPr>
                <w:b/>
                <w:sz w:val="20"/>
              </w:rPr>
            </w:pPr>
            <w:r>
              <w:rPr>
                <w:b/>
              </w:rPr>
              <w:t>Core Drugs</w:t>
            </w:r>
          </w:p>
        </w:tc>
        <w:tc>
          <w:tcPr>
            <w:tcW w:w="3605" w:type="dxa"/>
            <w:shd w:val="clear" w:color="auto" w:fill="D9D9D9" w:themeFill="background1" w:themeFillShade="D9"/>
          </w:tcPr>
          <w:p w:rsidR="00EA65D4" w:rsidRPr="00EA65D4" w:rsidRDefault="00EA65D4" w:rsidP="00B923E3">
            <w:pPr>
              <w:rPr>
                <w:b/>
                <w:sz w:val="20"/>
              </w:rPr>
            </w:pPr>
            <w:r w:rsidRPr="009D2036">
              <w:rPr>
                <w:b/>
              </w:rPr>
              <w:t>29</w:t>
            </w:r>
            <w:r w:rsidRPr="009D2036">
              <w:rPr>
                <w:b/>
                <w:vertAlign w:val="superscript"/>
              </w:rPr>
              <w:t>th</w:t>
            </w:r>
            <w:r w:rsidRPr="009D2036">
              <w:rPr>
                <w:b/>
              </w:rPr>
              <w:t xml:space="preserve"> – 30</w:t>
            </w:r>
            <w:r w:rsidRPr="009D2036">
              <w:rPr>
                <w:b/>
                <w:vertAlign w:val="superscript"/>
              </w:rPr>
              <w:t>th</w:t>
            </w:r>
            <w:r w:rsidRPr="009D2036">
              <w:rPr>
                <w:b/>
              </w:rPr>
              <w:t xml:space="preserve"> January 2014</w:t>
            </w:r>
          </w:p>
        </w:tc>
      </w:tr>
      <w:tr w:rsidR="00EA65D4" w:rsidRPr="00EA65D4" w:rsidTr="00B923E3">
        <w:tc>
          <w:tcPr>
            <w:tcW w:w="9242" w:type="dxa"/>
            <w:gridSpan w:val="3"/>
          </w:tcPr>
          <w:p w:rsidR="00EA65D4" w:rsidRPr="00EA65D4" w:rsidRDefault="00EA65D4" w:rsidP="00EA65D4">
            <w:pPr>
              <w:rPr>
                <w:sz w:val="20"/>
              </w:rPr>
            </w:pPr>
            <w:r w:rsidRPr="00EA65D4">
              <w:rPr>
                <w:b/>
                <w:sz w:val="20"/>
              </w:rPr>
              <w:t xml:space="preserve">About this course: </w:t>
            </w:r>
            <w:r w:rsidRPr="00EA65D4">
              <w:rPr>
                <w:sz w:val="20"/>
              </w:rPr>
              <w:t>a perfect course for people who want to get a firm grounding in key drugs and concepts in drug use including families of drugs, patterns of drug use, drug specific information, indicators, responses and support for those affected.</w:t>
            </w:r>
          </w:p>
          <w:p w:rsidR="00EA65D4" w:rsidRPr="00EA65D4" w:rsidRDefault="00EA65D4" w:rsidP="00EA65D4">
            <w:pPr>
              <w:rPr>
                <w:sz w:val="20"/>
              </w:rPr>
            </w:pPr>
          </w:p>
          <w:p w:rsidR="00EA65D4" w:rsidRPr="00EA65D4" w:rsidRDefault="00EA65D4" w:rsidP="00B923E3">
            <w:pPr>
              <w:rPr>
                <w:sz w:val="20"/>
              </w:rPr>
            </w:pPr>
            <w:r w:rsidRPr="00EA65D4">
              <w:rPr>
                <w:b/>
                <w:sz w:val="20"/>
              </w:rPr>
              <w:t>Who is this course for:</w:t>
            </w:r>
            <w:r w:rsidRPr="00EA65D4">
              <w:rPr>
                <w:sz w:val="20"/>
              </w:rPr>
              <w:t xml:space="preserve"> anyone who needs to be able to respond confidently to drug use in any setting . No previous training is required.</w:t>
            </w:r>
          </w:p>
        </w:tc>
      </w:tr>
      <w:tr w:rsidR="00EA65D4" w:rsidRPr="00EA65D4" w:rsidTr="00EA65D4">
        <w:tc>
          <w:tcPr>
            <w:tcW w:w="4928" w:type="dxa"/>
            <w:shd w:val="clear" w:color="auto" w:fill="D9D9D9" w:themeFill="background1" w:themeFillShade="D9"/>
          </w:tcPr>
          <w:p w:rsidR="00EA65D4" w:rsidRPr="00EA65D4" w:rsidRDefault="00EA65D4" w:rsidP="00B923E3">
            <w:pPr>
              <w:rPr>
                <w:b/>
                <w:sz w:val="20"/>
              </w:rPr>
            </w:pPr>
            <w:r>
              <w:rPr>
                <w:b/>
              </w:rPr>
              <w:t>Drug Related Deaths</w:t>
            </w:r>
          </w:p>
        </w:tc>
        <w:tc>
          <w:tcPr>
            <w:tcW w:w="4314" w:type="dxa"/>
            <w:gridSpan w:val="2"/>
            <w:shd w:val="clear" w:color="auto" w:fill="D9D9D9" w:themeFill="background1" w:themeFillShade="D9"/>
          </w:tcPr>
          <w:p w:rsidR="00EA65D4" w:rsidRDefault="00EA65D4" w:rsidP="00B923E3">
            <w:pPr>
              <w:rPr>
                <w:b/>
              </w:rPr>
            </w:pPr>
            <w:r>
              <w:rPr>
                <w:b/>
              </w:rPr>
              <w:t>11</w:t>
            </w:r>
            <w:r w:rsidRPr="009D2036">
              <w:rPr>
                <w:b/>
                <w:vertAlign w:val="superscript"/>
              </w:rPr>
              <w:t>th</w:t>
            </w:r>
            <w:r>
              <w:rPr>
                <w:b/>
              </w:rPr>
              <w:t xml:space="preserve"> February 2014</w:t>
            </w:r>
            <w:r>
              <w:rPr>
                <w:b/>
              </w:rPr>
              <w:tab/>
            </w:r>
          </w:p>
          <w:p w:rsidR="00EA65D4" w:rsidRPr="00EA65D4" w:rsidRDefault="00EA65D4" w:rsidP="00B923E3">
            <w:pPr>
              <w:rPr>
                <w:b/>
                <w:sz w:val="20"/>
              </w:rPr>
            </w:pPr>
            <w:r w:rsidRPr="00EA65D4">
              <w:rPr>
                <w:b/>
                <w:sz w:val="16"/>
              </w:rPr>
              <w:t>(Half day course: courses running in morning and afternoon)</w:t>
            </w:r>
          </w:p>
        </w:tc>
      </w:tr>
      <w:tr w:rsidR="00EA65D4" w:rsidRPr="00EA65D4" w:rsidTr="00B923E3">
        <w:tc>
          <w:tcPr>
            <w:tcW w:w="9242" w:type="dxa"/>
            <w:gridSpan w:val="3"/>
          </w:tcPr>
          <w:p w:rsidR="00EA65D4" w:rsidRPr="00EA65D4" w:rsidRDefault="00EA65D4" w:rsidP="00B923E3">
            <w:pPr>
              <w:rPr>
                <w:b/>
              </w:rPr>
            </w:pPr>
            <w:r w:rsidRPr="00EA65D4">
              <w:rPr>
                <w:b/>
                <w:sz w:val="20"/>
              </w:rPr>
              <w:t>See above</w:t>
            </w:r>
          </w:p>
        </w:tc>
      </w:tr>
    </w:tbl>
    <w:p w:rsidR="00EA65D4" w:rsidRDefault="00EA65D4" w:rsidP="00AD1BCC">
      <w:pPr>
        <w:rPr>
          <w:b/>
        </w:rPr>
      </w:pPr>
    </w:p>
    <w:p w:rsidR="00EA65D4" w:rsidRDefault="00EA65D4" w:rsidP="00AD1BCC">
      <w:pPr>
        <w:rPr>
          <w:b/>
        </w:rPr>
      </w:pPr>
      <w:r>
        <w:rPr>
          <w:b/>
        </w:rPr>
        <w:lastRenderedPageBreak/>
        <w:t>What you need to know about the courses:</w:t>
      </w:r>
    </w:p>
    <w:p w:rsidR="00EA65D4" w:rsidRDefault="00EA65D4" w:rsidP="00AD1BCC">
      <w:pPr>
        <w:rPr>
          <w:b/>
        </w:rPr>
      </w:pPr>
      <w:r>
        <w:rPr>
          <w:b/>
        </w:rPr>
        <w:t xml:space="preserve">To enquire </w:t>
      </w:r>
      <w:r w:rsidR="006465A8">
        <w:rPr>
          <w:b/>
        </w:rPr>
        <w:t>about courses</w:t>
      </w:r>
      <w:r>
        <w:rPr>
          <w:b/>
        </w:rPr>
        <w:t xml:space="preserve"> please get in touch with Alyson Taylor:</w:t>
      </w:r>
      <w:r>
        <w:rPr>
          <w:b/>
        </w:rPr>
        <w:br/>
      </w:r>
      <w:hyperlink r:id="rId7" w:history="1">
        <w:r w:rsidRPr="003D2879">
          <w:rPr>
            <w:rStyle w:val="Hyperlink"/>
            <w:b/>
          </w:rPr>
          <w:t>Alyson.Taylor@leicester.gov.uk</w:t>
        </w:r>
      </w:hyperlink>
    </w:p>
    <w:p w:rsidR="00AD1BCC" w:rsidRDefault="00AD1BCC" w:rsidP="00EA65D4">
      <w:pPr>
        <w:pStyle w:val="ListParagraph"/>
        <w:numPr>
          <w:ilvl w:val="0"/>
          <w:numId w:val="1"/>
        </w:numPr>
      </w:pPr>
      <w:r w:rsidRPr="00EA65D4">
        <w:t>All courses will take place in Leicester and are offered to workers and volunteers from organisations from within the City.</w:t>
      </w:r>
    </w:p>
    <w:p w:rsidR="00EA65D4" w:rsidRDefault="00EA65D4" w:rsidP="00EA65D4">
      <w:pPr>
        <w:pStyle w:val="ListParagraph"/>
        <w:numPr>
          <w:ilvl w:val="0"/>
          <w:numId w:val="1"/>
        </w:numPr>
      </w:pPr>
      <w:r>
        <w:t xml:space="preserve">Places are free but a charge </w:t>
      </w:r>
      <w:r w:rsidR="006465A8">
        <w:t xml:space="preserve">will </w:t>
      </w:r>
      <w:r>
        <w:t>be made if you do not attend without notice or sending a substitute participant</w:t>
      </w:r>
    </w:p>
    <w:p w:rsidR="00EA65D4" w:rsidRPr="00EA65D4" w:rsidRDefault="00EA65D4" w:rsidP="00EA65D4">
      <w:pPr>
        <w:pStyle w:val="ListParagraph"/>
        <w:numPr>
          <w:ilvl w:val="0"/>
          <w:numId w:val="1"/>
        </w:numPr>
      </w:pPr>
      <w:r>
        <w:t>Places are offered on a first-come, first-serve basis; when a course is full you may be offered places on the waiting list</w:t>
      </w:r>
    </w:p>
    <w:p w:rsidR="00AD1BCC" w:rsidRPr="00EA65D4" w:rsidRDefault="00AD1BCC" w:rsidP="00EA65D4">
      <w:pPr>
        <w:pStyle w:val="ListParagraph"/>
        <w:numPr>
          <w:ilvl w:val="0"/>
          <w:numId w:val="1"/>
        </w:numPr>
      </w:pPr>
      <w:r w:rsidRPr="00EA65D4">
        <w:t>Venues will be advised closer to the time.</w:t>
      </w:r>
    </w:p>
    <w:p w:rsidR="00AD1BCC" w:rsidRDefault="00AD1BCC" w:rsidP="00EA65D4">
      <w:pPr>
        <w:pStyle w:val="ListParagraph"/>
        <w:numPr>
          <w:ilvl w:val="0"/>
          <w:numId w:val="1"/>
        </w:numPr>
      </w:pPr>
      <w:r w:rsidRPr="00EA65D4">
        <w:t>Attendance is required for the whole course; one day courses run from 9.30-4.15.</w:t>
      </w:r>
    </w:p>
    <w:p w:rsidR="00EA65D4" w:rsidRDefault="00EA65D4" w:rsidP="00EA65D4">
      <w:pPr>
        <w:pStyle w:val="ListParagraph"/>
        <w:numPr>
          <w:ilvl w:val="0"/>
          <w:numId w:val="1"/>
        </w:numPr>
      </w:pPr>
      <w:r>
        <w:t>Lunch will not be provided</w:t>
      </w:r>
    </w:p>
    <w:p w:rsidR="00EA65D4" w:rsidRDefault="00EA65D4" w:rsidP="00EA65D4">
      <w:pPr>
        <w:pStyle w:val="ListParagraph"/>
        <w:numPr>
          <w:ilvl w:val="0"/>
          <w:numId w:val="1"/>
        </w:numPr>
      </w:pPr>
      <w:r>
        <w:t>Handouts will be available as a download prior to the course for participants to print themselves should they wish to.</w:t>
      </w:r>
    </w:p>
    <w:p w:rsidR="006465A8" w:rsidRDefault="006465A8">
      <w:r>
        <w:br w:type="page"/>
      </w:r>
    </w:p>
    <w:p w:rsidR="006465A8" w:rsidRPr="006465A8" w:rsidRDefault="006465A8" w:rsidP="006465A8">
      <w:pPr>
        <w:jc w:val="center"/>
        <w:rPr>
          <w:rFonts w:ascii="Calibri" w:eastAsia="Calibri" w:hAnsi="Calibri" w:cs="Times New Roman"/>
          <w:b/>
          <w:sz w:val="32"/>
          <w:szCs w:val="32"/>
        </w:rPr>
      </w:pPr>
      <w:r w:rsidRPr="006465A8">
        <w:rPr>
          <w:rFonts w:ascii="Calibri" w:eastAsia="Calibri" w:hAnsi="Calibri" w:cs="Times New Roman"/>
          <w:b/>
          <w:sz w:val="32"/>
          <w:szCs w:val="32"/>
        </w:rPr>
        <w:lastRenderedPageBreak/>
        <w:t>Drug and Alcohol Services Leicester City Council</w:t>
      </w:r>
    </w:p>
    <w:p w:rsidR="006465A8" w:rsidRPr="006465A8" w:rsidRDefault="006465A8" w:rsidP="006465A8">
      <w:pPr>
        <w:jc w:val="center"/>
        <w:rPr>
          <w:rFonts w:ascii="Calibri" w:eastAsia="Calibri" w:hAnsi="Calibri" w:cs="Times New Roman"/>
          <w:b/>
          <w:sz w:val="32"/>
          <w:szCs w:val="32"/>
        </w:rPr>
      </w:pPr>
      <w:r w:rsidRPr="006465A8">
        <w:rPr>
          <w:rFonts w:ascii="Calibri" w:eastAsia="Calibri" w:hAnsi="Calibri" w:cs="Times New Roman"/>
          <w:b/>
          <w:sz w:val="32"/>
          <w:szCs w:val="32"/>
        </w:rPr>
        <w:t>Training Request Form</w:t>
      </w:r>
    </w:p>
    <w:tbl>
      <w:tblPr>
        <w:tblStyle w:val="TableGrid"/>
        <w:tblW w:w="10740" w:type="dxa"/>
        <w:tblInd w:w="-854" w:type="dxa"/>
        <w:tblLook w:val="04A0"/>
      </w:tblPr>
      <w:tblGrid>
        <w:gridCol w:w="3372"/>
        <w:gridCol w:w="7368"/>
      </w:tblGrid>
      <w:tr w:rsidR="006465A8" w:rsidRPr="006465A8" w:rsidTr="006465A8">
        <w:tc>
          <w:tcPr>
            <w:tcW w:w="3372" w:type="dxa"/>
          </w:tcPr>
          <w:p w:rsidR="006465A8" w:rsidRPr="006465A8" w:rsidRDefault="006465A8" w:rsidP="006465A8">
            <w:pPr>
              <w:rPr>
                <w:rFonts w:ascii="Calibri" w:eastAsia="Calibri" w:hAnsi="Calibri" w:cs="Times New Roman"/>
                <w:b/>
              </w:rPr>
            </w:pPr>
            <w:r w:rsidRPr="006465A8">
              <w:rPr>
                <w:rFonts w:ascii="Calibri" w:eastAsia="Calibri" w:hAnsi="Calibri" w:cs="Times New Roman"/>
                <w:b/>
              </w:rPr>
              <w:t>Name</w:t>
            </w:r>
          </w:p>
        </w:tc>
        <w:tc>
          <w:tcPr>
            <w:tcW w:w="7368" w:type="dxa"/>
          </w:tcPr>
          <w:p w:rsidR="006465A8" w:rsidRPr="006465A8" w:rsidRDefault="006465A8" w:rsidP="006465A8">
            <w:pPr>
              <w:rPr>
                <w:rFonts w:ascii="Calibri" w:eastAsia="Calibri" w:hAnsi="Calibri" w:cs="Times New Roman"/>
              </w:rPr>
            </w:pPr>
          </w:p>
          <w:p w:rsidR="006465A8" w:rsidRPr="006465A8" w:rsidRDefault="006465A8" w:rsidP="006465A8">
            <w:pPr>
              <w:rPr>
                <w:rFonts w:ascii="Calibri" w:eastAsia="Calibri" w:hAnsi="Calibri" w:cs="Times New Roman"/>
              </w:rPr>
            </w:pPr>
          </w:p>
        </w:tc>
      </w:tr>
      <w:tr w:rsidR="006465A8" w:rsidRPr="006465A8" w:rsidTr="006465A8">
        <w:tc>
          <w:tcPr>
            <w:tcW w:w="3372" w:type="dxa"/>
          </w:tcPr>
          <w:p w:rsidR="006465A8" w:rsidRPr="006465A8" w:rsidRDefault="006465A8" w:rsidP="006465A8">
            <w:pPr>
              <w:rPr>
                <w:rFonts w:ascii="Calibri" w:eastAsia="Calibri" w:hAnsi="Calibri" w:cs="Times New Roman"/>
                <w:b/>
              </w:rPr>
            </w:pPr>
            <w:r w:rsidRPr="006465A8">
              <w:rPr>
                <w:rFonts w:ascii="Calibri" w:eastAsia="Calibri" w:hAnsi="Calibri" w:cs="Times New Roman"/>
                <w:b/>
              </w:rPr>
              <w:t>Job title</w:t>
            </w:r>
          </w:p>
        </w:tc>
        <w:tc>
          <w:tcPr>
            <w:tcW w:w="7368" w:type="dxa"/>
          </w:tcPr>
          <w:p w:rsidR="006465A8" w:rsidRPr="006465A8" w:rsidRDefault="006465A8" w:rsidP="006465A8">
            <w:pPr>
              <w:rPr>
                <w:rFonts w:ascii="Calibri" w:eastAsia="Calibri" w:hAnsi="Calibri" w:cs="Times New Roman"/>
              </w:rPr>
            </w:pPr>
          </w:p>
          <w:p w:rsidR="006465A8" w:rsidRPr="006465A8" w:rsidRDefault="006465A8" w:rsidP="006465A8">
            <w:pPr>
              <w:rPr>
                <w:rFonts w:ascii="Calibri" w:eastAsia="Calibri" w:hAnsi="Calibri" w:cs="Times New Roman"/>
              </w:rPr>
            </w:pPr>
          </w:p>
        </w:tc>
      </w:tr>
      <w:tr w:rsidR="006465A8" w:rsidRPr="006465A8" w:rsidTr="006465A8">
        <w:tc>
          <w:tcPr>
            <w:tcW w:w="3372" w:type="dxa"/>
          </w:tcPr>
          <w:p w:rsidR="006465A8" w:rsidRPr="006465A8" w:rsidRDefault="006465A8" w:rsidP="006465A8">
            <w:pPr>
              <w:rPr>
                <w:rFonts w:ascii="Calibri" w:eastAsia="Calibri" w:hAnsi="Calibri" w:cs="Times New Roman"/>
                <w:b/>
              </w:rPr>
            </w:pPr>
            <w:r w:rsidRPr="006465A8">
              <w:rPr>
                <w:rFonts w:ascii="Calibri" w:eastAsia="Calibri" w:hAnsi="Calibri" w:cs="Times New Roman"/>
                <w:b/>
              </w:rPr>
              <w:t>Telephone</w:t>
            </w:r>
          </w:p>
        </w:tc>
        <w:tc>
          <w:tcPr>
            <w:tcW w:w="7368" w:type="dxa"/>
          </w:tcPr>
          <w:p w:rsidR="006465A8" w:rsidRPr="006465A8" w:rsidRDefault="006465A8" w:rsidP="006465A8">
            <w:pPr>
              <w:rPr>
                <w:rFonts w:ascii="Calibri" w:eastAsia="Calibri" w:hAnsi="Calibri" w:cs="Times New Roman"/>
              </w:rPr>
            </w:pPr>
          </w:p>
          <w:p w:rsidR="006465A8" w:rsidRPr="006465A8" w:rsidRDefault="006465A8" w:rsidP="006465A8">
            <w:pPr>
              <w:rPr>
                <w:rFonts w:ascii="Calibri" w:eastAsia="Calibri" w:hAnsi="Calibri" w:cs="Times New Roman"/>
              </w:rPr>
            </w:pPr>
          </w:p>
        </w:tc>
      </w:tr>
      <w:tr w:rsidR="006465A8" w:rsidRPr="006465A8" w:rsidTr="006465A8">
        <w:tc>
          <w:tcPr>
            <w:tcW w:w="3372" w:type="dxa"/>
          </w:tcPr>
          <w:p w:rsidR="006465A8" w:rsidRPr="006465A8" w:rsidRDefault="006465A8" w:rsidP="006465A8">
            <w:pPr>
              <w:rPr>
                <w:rFonts w:ascii="Calibri" w:eastAsia="Calibri" w:hAnsi="Calibri" w:cs="Times New Roman"/>
                <w:b/>
              </w:rPr>
            </w:pPr>
            <w:r w:rsidRPr="006465A8">
              <w:rPr>
                <w:rFonts w:ascii="Calibri" w:eastAsia="Calibri" w:hAnsi="Calibri" w:cs="Times New Roman"/>
                <w:b/>
              </w:rPr>
              <w:t>Organisation</w:t>
            </w:r>
          </w:p>
        </w:tc>
        <w:tc>
          <w:tcPr>
            <w:tcW w:w="7368" w:type="dxa"/>
          </w:tcPr>
          <w:p w:rsidR="006465A8" w:rsidRPr="006465A8" w:rsidRDefault="006465A8" w:rsidP="006465A8">
            <w:pPr>
              <w:rPr>
                <w:rFonts w:ascii="Calibri" w:eastAsia="Calibri" w:hAnsi="Calibri" w:cs="Times New Roman"/>
              </w:rPr>
            </w:pPr>
          </w:p>
          <w:p w:rsidR="006465A8" w:rsidRPr="006465A8" w:rsidRDefault="006465A8" w:rsidP="006465A8">
            <w:pPr>
              <w:rPr>
                <w:rFonts w:ascii="Calibri" w:eastAsia="Calibri" w:hAnsi="Calibri" w:cs="Times New Roman"/>
              </w:rPr>
            </w:pPr>
          </w:p>
        </w:tc>
      </w:tr>
      <w:tr w:rsidR="006465A8" w:rsidRPr="006465A8" w:rsidTr="006465A8">
        <w:tc>
          <w:tcPr>
            <w:tcW w:w="3372" w:type="dxa"/>
          </w:tcPr>
          <w:p w:rsidR="006465A8" w:rsidRPr="006465A8" w:rsidRDefault="006465A8" w:rsidP="006465A8">
            <w:pPr>
              <w:rPr>
                <w:rFonts w:ascii="Calibri" w:eastAsia="Calibri" w:hAnsi="Calibri" w:cs="Times New Roman"/>
                <w:b/>
              </w:rPr>
            </w:pPr>
            <w:r w:rsidRPr="006465A8">
              <w:rPr>
                <w:rFonts w:ascii="Calibri" w:eastAsia="Calibri" w:hAnsi="Calibri" w:cs="Times New Roman"/>
                <w:b/>
              </w:rPr>
              <w:t>Address</w:t>
            </w:r>
          </w:p>
        </w:tc>
        <w:tc>
          <w:tcPr>
            <w:tcW w:w="7368" w:type="dxa"/>
          </w:tcPr>
          <w:p w:rsidR="006465A8" w:rsidRPr="006465A8" w:rsidRDefault="006465A8" w:rsidP="006465A8">
            <w:pPr>
              <w:rPr>
                <w:rFonts w:ascii="Calibri" w:eastAsia="Calibri" w:hAnsi="Calibri" w:cs="Times New Roman"/>
              </w:rPr>
            </w:pPr>
          </w:p>
          <w:p w:rsidR="006465A8" w:rsidRPr="006465A8" w:rsidRDefault="006465A8" w:rsidP="006465A8">
            <w:pPr>
              <w:rPr>
                <w:rFonts w:ascii="Calibri" w:eastAsia="Calibri" w:hAnsi="Calibri" w:cs="Times New Roman"/>
              </w:rPr>
            </w:pPr>
          </w:p>
        </w:tc>
      </w:tr>
      <w:tr w:rsidR="006465A8" w:rsidRPr="006465A8" w:rsidTr="006465A8">
        <w:tc>
          <w:tcPr>
            <w:tcW w:w="3372" w:type="dxa"/>
          </w:tcPr>
          <w:p w:rsidR="006465A8" w:rsidRPr="006465A8" w:rsidRDefault="006465A8" w:rsidP="006465A8">
            <w:pPr>
              <w:rPr>
                <w:rFonts w:ascii="Calibri" w:eastAsia="Calibri" w:hAnsi="Calibri" w:cs="Times New Roman"/>
                <w:b/>
              </w:rPr>
            </w:pPr>
            <w:r w:rsidRPr="006465A8">
              <w:rPr>
                <w:rFonts w:ascii="Calibri" w:eastAsia="Calibri" w:hAnsi="Calibri" w:cs="Times New Roman"/>
                <w:b/>
              </w:rPr>
              <w:t>Training session you wish to attend</w:t>
            </w:r>
          </w:p>
        </w:tc>
        <w:tc>
          <w:tcPr>
            <w:tcW w:w="7368" w:type="dxa"/>
          </w:tcPr>
          <w:p w:rsidR="006465A8" w:rsidRPr="006465A8" w:rsidRDefault="006465A8" w:rsidP="006465A8">
            <w:pPr>
              <w:rPr>
                <w:rFonts w:ascii="Calibri" w:eastAsia="Calibri" w:hAnsi="Calibri" w:cs="Times New Roman"/>
              </w:rPr>
            </w:pPr>
          </w:p>
        </w:tc>
      </w:tr>
      <w:tr w:rsidR="006465A8" w:rsidRPr="006465A8" w:rsidTr="006465A8">
        <w:trPr>
          <w:trHeight w:val="1796"/>
        </w:trPr>
        <w:tc>
          <w:tcPr>
            <w:tcW w:w="3372" w:type="dxa"/>
          </w:tcPr>
          <w:p w:rsidR="006465A8" w:rsidRPr="006465A8" w:rsidRDefault="006465A8" w:rsidP="006465A8">
            <w:pPr>
              <w:rPr>
                <w:rFonts w:ascii="Calibri" w:eastAsia="Calibri" w:hAnsi="Calibri" w:cs="Times New Roman"/>
                <w:b/>
              </w:rPr>
            </w:pPr>
            <w:r w:rsidRPr="006465A8">
              <w:rPr>
                <w:rFonts w:ascii="Calibri" w:eastAsia="Calibri" w:hAnsi="Calibri" w:cs="Times New Roman"/>
                <w:b/>
              </w:rPr>
              <w:t>How will this training benefit you in your current role?</w:t>
            </w:r>
          </w:p>
        </w:tc>
        <w:tc>
          <w:tcPr>
            <w:tcW w:w="7368" w:type="dxa"/>
          </w:tcPr>
          <w:p w:rsidR="006465A8" w:rsidRPr="006465A8" w:rsidRDefault="006465A8" w:rsidP="006465A8">
            <w:pPr>
              <w:rPr>
                <w:rFonts w:ascii="Calibri" w:eastAsia="Calibri" w:hAnsi="Calibri" w:cs="Times New Roman"/>
              </w:rPr>
            </w:pPr>
          </w:p>
          <w:p w:rsidR="006465A8" w:rsidRPr="006465A8" w:rsidRDefault="006465A8" w:rsidP="006465A8">
            <w:pPr>
              <w:rPr>
                <w:rFonts w:ascii="Calibri" w:eastAsia="Calibri" w:hAnsi="Calibri" w:cs="Times New Roman"/>
              </w:rPr>
            </w:pPr>
          </w:p>
          <w:p w:rsidR="006465A8" w:rsidRPr="006465A8" w:rsidRDefault="006465A8" w:rsidP="006465A8">
            <w:pPr>
              <w:rPr>
                <w:rFonts w:ascii="Calibri" w:eastAsia="Calibri" w:hAnsi="Calibri" w:cs="Times New Roman"/>
              </w:rPr>
            </w:pPr>
          </w:p>
          <w:p w:rsidR="006465A8" w:rsidRPr="006465A8" w:rsidRDefault="006465A8" w:rsidP="006465A8">
            <w:pPr>
              <w:rPr>
                <w:rFonts w:ascii="Calibri" w:eastAsia="Calibri" w:hAnsi="Calibri" w:cs="Times New Roman"/>
              </w:rPr>
            </w:pPr>
          </w:p>
          <w:p w:rsidR="006465A8" w:rsidRPr="006465A8" w:rsidRDefault="006465A8" w:rsidP="006465A8">
            <w:pPr>
              <w:rPr>
                <w:rFonts w:ascii="Calibri" w:eastAsia="Calibri" w:hAnsi="Calibri" w:cs="Times New Roman"/>
              </w:rPr>
            </w:pPr>
          </w:p>
          <w:p w:rsidR="006465A8" w:rsidRPr="006465A8" w:rsidRDefault="006465A8" w:rsidP="006465A8">
            <w:pPr>
              <w:rPr>
                <w:rFonts w:ascii="Calibri" w:eastAsia="Calibri" w:hAnsi="Calibri" w:cs="Times New Roman"/>
              </w:rPr>
            </w:pPr>
          </w:p>
          <w:p w:rsidR="006465A8" w:rsidRPr="006465A8" w:rsidRDefault="006465A8" w:rsidP="006465A8">
            <w:pPr>
              <w:rPr>
                <w:rFonts w:ascii="Calibri" w:eastAsia="Calibri" w:hAnsi="Calibri" w:cs="Times New Roman"/>
              </w:rPr>
            </w:pPr>
          </w:p>
        </w:tc>
      </w:tr>
    </w:tbl>
    <w:p w:rsidR="006465A8" w:rsidRPr="006465A8" w:rsidRDefault="006465A8" w:rsidP="006465A8">
      <w:pPr>
        <w:rPr>
          <w:rFonts w:ascii="Calibri" w:eastAsia="Calibri" w:hAnsi="Calibri" w:cs="Times New Roman"/>
          <w:b/>
          <w:sz w:val="24"/>
          <w:szCs w:val="24"/>
        </w:rPr>
      </w:pPr>
      <w:r w:rsidRPr="006465A8">
        <w:rPr>
          <w:rFonts w:ascii="Calibri" w:eastAsia="Calibri" w:hAnsi="Calibri" w:cs="Times New Roman"/>
          <w:b/>
          <w:sz w:val="24"/>
          <w:szCs w:val="24"/>
        </w:rPr>
        <w:t xml:space="preserve">By attending this training you are committing to the following terms and conditions. </w:t>
      </w:r>
    </w:p>
    <w:p w:rsidR="006465A8" w:rsidRPr="006465A8" w:rsidRDefault="006465A8" w:rsidP="006465A8">
      <w:pPr>
        <w:numPr>
          <w:ilvl w:val="0"/>
          <w:numId w:val="2"/>
        </w:numPr>
        <w:contextualSpacing/>
        <w:rPr>
          <w:rFonts w:ascii="Calibri" w:eastAsia="Calibri" w:hAnsi="Calibri" w:cs="Times New Roman"/>
          <w:b/>
          <w:sz w:val="24"/>
          <w:szCs w:val="24"/>
        </w:rPr>
      </w:pPr>
      <w:r w:rsidRPr="006465A8">
        <w:rPr>
          <w:rFonts w:ascii="Calibri" w:eastAsia="Calibri" w:hAnsi="Calibri" w:cs="Times New Roman"/>
          <w:sz w:val="24"/>
          <w:szCs w:val="24"/>
        </w:rPr>
        <w:t>The training is free to attend, although non- attendance will result in a £75 charge</w:t>
      </w:r>
    </w:p>
    <w:p w:rsidR="006465A8" w:rsidRPr="006465A8" w:rsidRDefault="006465A8" w:rsidP="006465A8">
      <w:pPr>
        <w:numPr>
          <w:ilvl w:val="0"/>
          <w:numId w:val="2"/>
        </w:numPr>
        <w:contextualSpacing/>
        <w:rPr>
          <w:rFonts w:ascii="Calibri" w:eastAsia="Calibri" w:hAnsi="Calibri" w:cs="Times New Roman"/>
          <w:b/>
          <w:sz w:val="24"/>
          <w:szCs w:val="24"/>
        </w:rPr>
      </w:pPr>
      <w:r w:rsidRPr="006465A8">
        <w:rPr>
          <w:rFonts w:ascii="Calibri" w:eastAsia="Calibri" w:hAnsi="Calibri" w:cs="Times New Roman"/>
          <w:sz w:val="24"/>
          <w:szCs w:val="24"/>
        </w:rPr>
        <w:t>Any cancellations must be received at least 3 working days prior to the course – or the £75 charge will still apply</w:t>
      </w:r>
    </w:p>
    <w:p w:rsidR="006465A8" w:rsidRPr="006465A8" w:rsidRDefault="006465A8" w:rsidP="006465A8">
      <w:pPr>
        <w:numPr>
          <w:ilvl w:val="0"/>
          <w:numId w:val="2"/>
        </w:numPr>
        <w:contextualSpacing/>
        <w:rPr>
          <w:rFonts w:ascii="Calibri" w:eastAsia="Calibri" w:hAnsi="Calibri" w:cs="Times New Roman"/>
          <w:b/>
          <w:sz w:val="24"/>
          <w:szCs w:val="24"/>
        </w:rPr>
      </w:pPr>
      <w:r w:rsidRPr="006465A8">
        <w:rPr>
          <w:rFonts w:ascii="Calibri" w:eastAsia="Calibri" w:hAnsi="Calibri" w:cs="Times New Roman"/>
          <w:sz w:val="24"/>
          <w:szCs w:val="24"/>
        </w:rPr>
        <w:t xml:space="preserve">The feedback forms ( which will be given out at the training ) must  be returned 2 – 4 weeks after the training or the £75 charge will apply </w:t>
      </w:r>
    </w:p>
    <w:p w:rsidR="006465A8" w:rsidRPr="006465A8" w:rsidRDefault="006465A8" w:rsidP="006465A8">
      <w:pPr>
        <w:rPr>
          <w:rFonts w:ascii="Calibri" w:eastAsia="Calibri" w:hAnsi="Calibri" w:cs="Times New Roman"/>
          <w:b/>
          <w:sz w:val="24"/>
          <w:szCs w:val="24"/>
          <w:u w:val="single"/>
        </w:rPr>
      </w:pPr>
      <w:r w:rsidRPr="006465A8">
        <w:rPr>
          <w:rFonts w:ascii="Calibri" w:eastAsia="Calibri" w:hAnsi="Calibri" w:cs="Times New Roman"/>
          <w:b/>
          <w:sz w:val="24"/>
          <w:szCs w:val="24"/>
          <w:u w:val="single"/>
        </w:rPr>
        <w:t>Line managers’ details</w:t>
      </w:r>
    </w:p>
    <w:p w:rsidR="006465A8" w:rsidRPr="006465A8" w:rsidRDefault="006465A8" w:rsidP="006465A8">
      <w:pPr>
        <w:rPr>
          <w:rFonts w:ascii="Calibri" w:eastAsia="Calibri" w:hAnsi="Calibri" w:cs="Times New Roman"/>
        </w:rPr>
      </w:pPr>
      <w:r w:rsidRPr="006465A8">
        <w:rPr>
          <w:rFonts w:ascii="Calibri" w:eastAsia="Calibri" w:hAnsi="Calibri" w:cs="Times New Roman"/>
        </w:rPr>
        <w:t>By signing this form you are accepting all terms and conditions</w:t>
      </w:r>
    </w:p>
    <w:tbl>
      <w:tblPr>
        <w:tblStyle w:val="TableGrid"/>
        <w:tblW w:w="10740" w:type="dxa"/>
        <w:tblInd w:w="-854" w:type="dxa"/>
        <w:tblLook w:val="04A0"/>
      </w:tblPr>
      <w:tblGrid>
        <w:gridCol w:w="4621"/>
        <w:gridCol w:w="6119"/>
      </w:tblGrid>
      <w:tr w:rsidR="006465A8" w:rsidRPr="006465A8" w:rsidTr="006465A8">
        <w:tc>
          <w:tcPr>
            <w:tcW w:w="4621" w:type="dxa"/>
          </w:tcPr>
          <w:p w:rsidR="006465A8" w:rsidRPr="006465A8" w:rsidRDefault="006465A8" w:rsidP="006465A8">
            <w:pPr>
              <w:rPr>
                <w:rFonts w:ascii="Calibri" w:eastAsia="Calibri" w:hAnsi="Calibri" w:cs="Times New Roman"/>
                <w:b/>
              </w:rPr>
            </w:pPr>
            <w:r w:rsidRPr="006465A8">
              <w:rPr>
                <w:rFonts w:ascii="Calibri" w:eastAsia="Calibri" w:hAnsi="Calibri" w:cs="Times New Roman"/>
                <w:b/>
              </w:rPr>
              <w:t>Name</w:t>
            </w:r>
          </w:p>
        </w:tc>
        <w:tc>
          <w:tcPr>
            <w:tcW w:w="6119" w:type="dxa"/>
          </w:tcPr>
          <w:p w:rsidR="006465A8" w:rsidRPr="006465A8" w:rsidRDefault="006465A8" w:rsidP="006465A8">
            <w:pPr>
              <w:rPr>
                <w:rFonts w:ascii="Calibri" w:eastAsia="Calibri" w:hAnsi="Calibri" w:cs="Times New Roman"/>
              </w:rPr>
            </w:pPr>
          </w:p>
          <w:p w:rsidR="006465A8" w:rsidRPr="006465A8" w:rsidRDefault="006465A8" w:rsidP="006465A8">
            <w:pPr>
              <w:rPr>
                <w:rFonts w:ascii="Calibri" w:eastAsia="Calibri" w:hAnsi="Calibri" w:cs="Times New Roman"/>
              </w:rPr>
            </w:pPr>
          </w:p>
        </w:tc>
      </w:tr>
      <w:tr w:rsidR="006465A8" w:rsidRPr="006465A8" w:rsidTr="006465A8">
        <w:tc>
          <w:tcPr>
            <w:tcW w:w="4621" w:type="dxa"/>
          </w:tcPr>
          <w:p w:rsidR="006465A8" w:rsidRPr="006465A8" w:rsidRDefault="006465A8" w:rsidP="006465A8">
            <w:pPr>
              <w:rPr>
                <w:rFonts w:ascii="Calibri" w:eastAsia="Calibri" w:hAnsi="Calibri" w:cs="Times New Roman"/>
                <w:b/>
              </w:rPr>
            </w:pPr>
            <w:r w:rsidRPr="006465A8">
              <w:rPr>
                <w:rFonts w:ascii="Calibri" w:eastAsia="Calibri" w:hAnsi="Calibri" w:cs="Times New Roman"/>
                <w:b/>
              </w:rPr>
              <w:t>Job title</w:t>
            </w:r>
          </w:p>
        </w:tc>
        <w:tc>
          <w:tcPr>
            <w:tcW w:w="6119" w:type="dxa"/>
          </w:tcPr>
          <w:p w:rsidR="006465A8" w:rsidRPr="006465A8" w:rsidRDefault="006465A8" w:rsidP="006465A8">
            <w:pPr>
              <w:rPr>
                <w:rFonts w:ascii="Calibri" w:eastAsia="Calibri" w:hAnsi="Calibri" w:cs="Times New Roman"/>
              </w:rPr>
            </w:pPr>
          </w:p>
          <w:p w:rsidR="006465A8" w:rsidRPr="006465A8" w:rsidRDefault="006465A8" w:rsidP="006465A8">
            <w:pPr>
              <w:rPr>
                <w:rFonts w:ascii="Calibri" w:eastAsia="Calibri" w:hAnsi="Calibri" w:cs="Times New Roman"/>
              </w:rPr>
            </w:pPr>
          </w:p>
        </w:tc>
      </w:tr>
      <w:tr w:rsidR="006465A8" w:rsidRPr="006465A8" w:rsidTr="006465A8">
        <w:tc>
          <w:tcPr>
            <w:tcW w:w="4621" w:type="dxa"/>
          </w:tcPr>
          <w:p w:rsidR="006465A8" w:rsidRPr="006465A8" w:rsidRDefault="006465A8" w:rsidP="006465A8">
            <w:pPr>
              <w:rPr>
                <w:rFonts w:ascii="Calibri" w:eastAsia="Calibri" w:hAnsi="Calibri" w:cs="Times New Roman"/>
                <w:b/>
              </w:rPr>
            </w:pPr>
            <w:r w:rsidRPr="006465A8">
              <w:rPr>
                <w:rFonts w:ascii="Calibri" w:eastAsia="Calibri" w:hAnsi="Calibri" w:cs="Times New Roman"/>
                <w:b/>
              </w:rPr>
              <w:t>Cost Centre Code</w:t>
            </w:r>
          </w:p>
          <w:p w:rsidR="006465A8" w:rsidRPr="006465A8" w:rsidRDefault="006465A8" w:rsidP="006465A8">
            <w:pPr>
              <w:rPr>
                <w:rFonts w:ascii="Calibri" w:eastAsia="Calibri" w:hAnsi="Calibri" w:cs="Times New Roman"/>
              </w:rPr>
            </w:pPr>
            <w:r w:rsidRPr="006465A8">
              <w:rPr>
                <w:rFonts w:ascii="Calibri" w:eastAsia="Calibri" w:hAnsi="Calibri" w:cs="Times New Roman"/>
              </w:rPr>
              <w:t xml:space="preserve">(will only be used re. terms and conditions) </w:t>
            </w:r>
          </w:p>
        </w:tc>
        <w:tc>
          <w:tcPr>
            <w:tcW w:w="6119" w:type="dxa"/>
          </w:tcPr>
          <w:p w:rsidR="006465A8" w:rsidRPr="006465A8" w:rsidRDefault="006465A8" w:rsidP="006465A8">
            <w:pPr>
              <w:rPr>
                <w:rFonts w:ascii="Calibri" w:eastAsia="Calibri" w:hAnsi="Calibri" w:cs="Times New Roman"/>
              </w:rPr>
            </w:pPr>
          </w:p>
        </w:tc>
      </w:tr>
      <w:tr w:rsidR="006465A8" w:rsidRPr="006465A8" w:rsidTr="006465A8">
        <w:tc>
          <w:tcPr>
            <w:tcW w:w="4621" w:type="dxa"/>
          </w:tcPr>
          <w:p w:rsidR="006465A8" w:rsidRPr="006465A8" w:rsidRDefault="006465A8" w:rsidP="006465A8">
            <w:pPr>
              <w:rPr>
                <w:rFonts w:ascii="Calibri" w:eastAsia="Calibri" w:hAnsi="Calibri" w:cs="Times New Roman"/>
                <w:b/>
              </w:rPr>
            </w:pPr>
            <w:r w:rsidRPr="006465A8">
              <w:rPr>
                <w:rFonts w:ascii="Calibri" w:eastAsia="Calibri" w:hAnsi="Calibri" w:cs="Times New Roman"/>
                <w:b/>
              </w:rPr>
              <w:t>Telephone</w:t>
            </w:r>
          </w:p>
        </w:tc>
        <w:tc>
          <w:tcPr>
            <w:tcW w:w="6119" w:type="dxa"/>
          </w:tcPr>
          <w:p w:rsidR="006465A8" w:rsidRPr="006465A8" w:rsidRDefault="006465A8" w:rsidP="006465A8">
            <w:pPr>
              <w:rPr>
                <w:rFonts w:ascii="Calibri" w:eastAsia="Calibri" w:hAnsi="Calibri" w:cs="Times New Roman"/>
              </w:rPr>
            </w:pPr>
          </w:p>
          <w:p w:rsidR="006465A8" w:rsidRPr="006465A8" w:rsidRDefault="006465A8" w:rsidP="006465A8">
            <w:pPr>
              <w:rPr>
                <w:rFonts w:ascii="Calibri" w:eastAsia="Calibri" w:hAnsi="Calibri" w:cs="Times New Roman"/>
              </w:rPr>
            </w:pPr>
          </w:p>
        </w:tc>
      </w:tr>
      <w:tr w:rsidR="006465A8" w:rsidRPr="006465A8" w:rsidTr="006465A8">
        <w:tc>
          <w:tcPr>
            <w:tcW w:w="4621" w:type="dxa"/>
          </w:tcPr>
          <w:p w:rsidR="006465A8" w:rsidRPr="006465A8" w:rsidRDefault="006465A8" w:rsidP="006465A8">
            <w:pPr>
              <w:rPr>
                <w:rFonts w:ascii="Calibri" w:eastAsia="Calibri" w:hAnsi="Calibri" w:cs="Times New Roman"/>
                <w:b/>
              </w:rPr>
            </w:pPr>
            <w:r w:rsidRPr="006465A8">
              <w:rPr>
                <w:rFonts w:ascii="Calibri" w:eastAsia="Calibri" w:hAnsi="Calibri" w:cs="Times New Roman"/>
                <w:b/>
              </w:rPr>
              <w:t>Signature</w:t>
            </w:r>
          </w:p>
        </w:tc>
        <w:tc>
          <w:tcPr>
            <w:tcW w:w="6119" w:type="dxa"/>
          </w:tcPr>
          <w:p w:rsidR="006465A8" w:rsidRPr="006465A8" w:rsidRDefault="006465A8" w:rsidP="006465A8">
            <w:pPr>
              <w:rPr>
                <w:rFonts w:ascii="Calibri" w:eastAsia="Calibri" w:hAnsi="Calibri" w:cs="Times New Roman"/>
              </w:rPr>
            </w:pPr>
          </w:p>
          <w:p w:rsidR="006465A8" w:rsidRPr="006465A8" w:rsidRDefault="006465A8" w:rsidP="006465A8">
            <w:pPr>
              <w:rPr>
                <w:rFonts w:ascii="Calibri" w:eastAsia="Calibri" w:hAnsi="Calibri" w:cs="Times New Roman"/>
              </w:rPr>
            </w:pPr>
          </w:p>
          <w:p w:rsidR="006465A8" w:rsidRPr="006465A8" w:rsidRDefault="006465A8" w:rsidP="006465A8">
            <w:pPr>
              <w:rPr>
                <w:rFonts w:ascii="Calibri" w:eastAsia="Calibri" w:hAnsi="Calibri" w:cs="Times New Roman"/>
              </w:rPr>
            </w:pPr>
          </w:p>
        </w:tc>
      </w:tr>
    </w:tbl>
    <w:p w:rsidR="006465A8" w:rsidRPr="006465A8" w:rsidRDefault="006465A8" w:rsidP="006465A8">
      <w:pPr>
        <w:rPr>
          <w:rFonts w:ascii="Calibri" w:eastAsia="Calibri" w:hAnsi="Calibri" w:cs="Times New Roman"/>
        </w:rPr>
      </w:pPr>
      <w:r w:rsidRPr="006465A8">
        <w:rPr>
          <w:rFonts w:ascii="Calibri" w:eastAsia="Calibri" w:hAnsi="Calibri" w:cs="Times New Roman"/>
        </w:rPr>
        <w:t>Please email completed forms to:</w:t>
      </w:r>
    </w:p>
    <w:p w:rsidR="009D2036" w:rsidRPr="009D2036" w:rsidRDefault="006465A8" w:rsidP="009D2036">
      <w:hyperlink r:id="rId8" w:history="1">
        <w:r w:rsidRPr="006465A8">
          <w:rPr>
            <w:rFonts w:ascii="Calibri" w:eastAsia="Calibri" w:hAnsi="Calibri" w:cs="Times New Roman"/>
            <w:color w:val="0000FF"/>
            <w:u w:val="single"/>
          </w:rPr>
          <w:t>Balal.Ahmed@leicester.gov.uk</w:t>
        </w:r>
      </w:hyperlink>
      <w:r w:rsidRPr="006465A8">
        <w:rPr>
          <w:rFonts w:ascii="Calibri" w:eastAsia="Calibri" w:hAnsi="Calibri" w:cs="Times New Roman"/>
        </w:rPr>
        <w:t xml:space="preserve"> </w:t>
      </w:r>
      <w:bookmarkStart w:id="0" w:name="_GoBack"/>
      <w:bookmarkEnd w:id="0"/>
    </w:p>
    <w:sectPr w:rsidR="009D2036" w:rsidRPr="009D2036" w:rsidSect="00BE07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312A4"/>
    <w:multiLevelType w:val="hybridMultilevel"/>
    <w:tmpl w:val="BB68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7615CA"/>
    <w:multiLevelType w:val="hybridMultilevel"/>
    <w:tmpl w:val="369A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AD1BCC"/>
    <w:rsid w:val="002313D6"/>
    <w:rsid w:val="002471F8"/>
    <w:rsid w:val="004923B0"/>
    <w:rsid w:val="004A7929"/>
    <w:rsid w:val="006465A8"/>
    <w:rsid w:val="00652EFA"/>
    <w:rsid w:val="009D2036"/>
    <w:rsid w:val="00AD1BCC"/>
    <w:rsid w:val="00B84635"/>
    <w:rsid w:val="00BE0758"/>
    <w:rsid w:val="00E552FA"/>
    <w:rsid w:val="00E872C6"/>
    <w:rsid w:val="00E8733F"/>
    <w:rsid w:val="00EA65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3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65D4"/>
    <w:pPr>
      <w:ind w:left="720"/>
      <w:contextualSpacing/>
    </w:pPr>
  </w:style>
  <w:style w:type="character" w:styleId="Hyperlink">
    <w:name w:val="Hyperlink"/>
    <w:basedOn w:val="DefaultParagraphFont"/>
    <w:uiPriority w:val="99"/>
    <w:unhideWhenUsed/>
    <w:rsid w:val="00EA65D4"/>
    <w:rPr>
      <w:color w:val="0000FF" w:themeColor="hyperlink"/>
      <w:u w:val="single"/>
    </w:rPr>
  </w:style>
  <w:style w:type="paragraph" w:styleId="BalloonText">
    <w:name w:val="Balloon Text"/>
    <w:basedOn w:val="Normal"/>
    <w:link w:val="BalloonTextChar"/>
    <w:uiPriority w:val="99"/>
    <w:semiHidden/>
    <w:unhideWhenUsed/>
    <w:rsid w:val="00EA6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5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lal.Ahmed@leicester.gov.uk" TargetMode="External"/><Relationship Id="rId3" Type="http://schemas.openxmlformats.org/officeDocument/2006/relationships/settings" Target="settings.xml"/><Relationship Id="rId7" Type="http://schemas.openxmlformats.org/officeDocument/2006/relationships/hyperlink" Target="mailto:Alyson.Taylor@leicest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Flemen</dc:creator>
  <cp:keywords/>
  <dc:description/>
  <cp:lastModifiedBy>Kevin Flemen</cp:lastModifiedBy>
  <cp:revision>4</cp:revision>
  <dcterms:created xsi:type="dcterms:W3CDTF">2013-07-19T08:28:00Z</dcterms:created>
  <dcterms:modified xsi:type="dcterms:W3CDTF">2013-07-19T10:20:00Z</dcterms:modified>
</cp:coreProperties>
</file>